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  <w:jc w:val="center"/>
      </w:pPr>
      <w:r>
        <w:rPr>
          <w:i/>
          <w:sz w:val="16"/>
        </w:rPr>
        <w:t>A feltüntetett díjak és képzési feltételek tájékoztató jellegűek; beiratkozás és tanfolyamindítás jelenleg nem elérhető. Az újraindítás feltételeiről az iskola külön tájékoztatást ad.</w:t>
      </w:r>
    </w:p>
    <w:p>
      <w:pPr>
        <w:spacing w:before="120" w:after="100"/>
        <w:jc w:val="center"/>
        <w:shd w:fill="FBEDED"/>
      </w:pPr>
      <w:r>
        <w:rPr>
          <w:b/>
          <w:color w:val="9B2A2A"/>
          <w:sz w:val="20"/>
        </w:rPr>
        <w:t>JELENLEG NEM INDUL KÉPZÉS A FORDULAT AUTÓS-MOTOROS ISKOLÁBAN</w:t>
      </w:r>
    </w:p>
    <w:p>
      <w:pPr>
        <w:pStyle w:val="Title"/>
      </w:pPr>
      <w:r>
        <w:t>„D” kategóriás képzés – két előképzettségi változat</w:t>
      </w:r>
    </w:p>
    <w:p>
      <w:r>
        <w:t>A teljes vállalási feltételek a mellékelt külön-külön kidolgozott D (C-vel) és D (B-vel) változatban találhatók. A beiratkozás során az előképzettség alapján kell a megfelelő változatot átadni.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Adat</w:t>
            </w:r>
          </w:p>
        </w:tc>
        <w:tc>
          <w:tcPr>
            <w:tcW w:type="dxa" w:w="2880"/>
          </w:tcPr>
          <w:p>
            <w:r>
              <w:t>Meglévő C-vel</w:t>
            </w:r>
          </w:p>
        </w:tc>
        <w:tc>
          <w:tcPr>
            <w:tcW w:type="dxa" w:w="2880"/>
          </w:tcPr>
          <w:p>
            <w:r>
              <w:t>Csak B-vel</w:t>
            </w:r>
          </w:p>
        </w:tc>
      </w:tr>
      <w:tr>
        <w:tc>
          <w:tcPr>
            <w:tcW w:type="dxa" w:w="2880"/>
          </w:tcPr>
          <w:p>
            <w:r>
              <w:t>Elméleti tandíj</w:t>
            </w:r>
          </w:p>
        </w:tc>
        <w:tc>
          <w:tcPr>
            <w:tcW w:type="dxa" w:w="2880"/>
          </w:tcPr>
          <w:p>
            <w:r>
              <w:t>65 000 Ft</w:t>
            </w:r>
          </w:p>
        </w:tc>
        <w:tc>
          <w:tcPr>
            <w:tcW w:type="dxa" w:w="2880"/>
          </w:tcPr>
          <w:p>
            <w:r>
              <w:t>75 000 Ft</w:t>
            </w:r>
          </w:p>
        </w:tc>
      </w:tr>
      <w:tr>
        <w:tc>
          <w:tcPr>
            <w:tcW w:type="dxa" w:w="2880"/>
          </w:tcPr>
          <w:p>
            <w:r>
              <w:t>Gyakorlat</w:t>
            </w:r>
          </w:p>
        </w:tc>
        <w:tc>
          <w:tcPr>
            <w:tcW w:type="dxa" w:w="2880"/>
          </w:tcPr>
          <w:p>
            <w:r>
              <w:t>725 400 Ft</w:t>
            </w:r>
          </w:p>
        </w:tc>
        <w:tc>
          <w:tcPr>
            <w:tcW w:type="dxa" w:w="2880"/>
          </w:tcPr>
          <w:p>
            <w:r>
              <w:t>1 250 200 Ft</w:t>
            </w:r>
          </w:p>
        </w:tc>
      </w:tr>
      <w:tr>
        <w:tc>
          <w:tcPr>
            <w:tcW w:type="dxa" w:w="2880"/>
          </w:tcPr>
          <w:p>
            <w:r>
              <w:t>Gyakorlati órák</w:t>
            </w:r>
          </w:p>
        </w:tc>
        <w:tc>
          <w:tcPr>
            <w:tcW w:type="dxa" w:w="2880"/>
          </w:tcPr>
          <w:p>
            <w:r>
              <w:t>24+2</w:t>
            </w:r>
          </w:p>
        </w:tc>
        <w:tc>
          <w:tcPr>
            <w:tcW w:type="dxa" w:w="2880"/>
          </w:tcPr>
          <w:p>
            <w:r>
              <w:t>36+2</w:t>
            </w:r>
          </w:p>
        </w:tc>
      </w:tr>
      <w:tr>
        <w:tc>
          <w:tcPr>
            <w:tcW w:type="dxa" w:w="2880"/>
          </w:tcPr>
          <w:p>
            <w:r>
              <w:t>Menettáv</w:t>
            </w:r>
          </w:p>
        </w:tc>
        <w:tc>
          <w:tcPr>
            <w:tcW w:type="dxa" w:w="2880"/>
          </w:tcPr>
          <w:p>
            <w:r>
              <w:t>550 km</w:t>
            </w:r>
          </w:p>
        </w:tc>
        <w:tc>
          <w:tcPr>
            <w:tcW w:type="dxa" w:w="2880"/>
          </w:tcPr>
          <w:p>
            <w:r>
              <w:t>850 km</w:t>
            </w:r>
          </w:p>
        </w:tc>
      </w:tr>
      <w:tr>
        <w:tc>
          <w:tcPr>
            <w:tcW w:type="dxa" w:w="2880"/>
          </w:tcPr>
          <w:p>
            <w:r>
              <w:t>Elméleti vizsgák</w:t>
            </w:r>
          </w:p>
        </w:tc>
        <w:tc>
          <w:tcPr>
            <w:tcW w:type="dxa" w:w="2880"/>
          </w:tcPr>
          <w:p>
            <w:r>
              <w:t>KRESZ</w:t>
            </w:r>
          </w:p>
        </w:tc>
        <w:tc>
          <w:tcPr>
            <w:tcW w:type="dxa" w:w="2880"/>
          </w:tcPr>
          <w:p>
            <w:r>
              <w:t>KRESZ, Szü, MV</w:t>
            </w:r>
          </w:p>
        </w:tc>
      </w:tr>
      <w:tr>
        <w:tc>
          <w:tcPr>
            <w:tcW w:type="dxa" w:w="2880"/>
          </w:tcPr>
          <w:p>
            <w:r>
              <w:t>Teljes díj</w:t>
            </w:r>
          </w:p>
        </w:tc>
        <w:tc>
          <w:tcPr>
            <w:tcW w:type="dxa" w:w="2880"/>
          </w:tcPr>
          <w:p>
            <w:r>
              <w:t>848 400 Ft</w:t>
            </w:r>
          </w:p>
        </w:tc>
        <w:tc>
          <w:tcPr>
            <w:tcW w:type="dxa" w:w="2880"/>
          </w:tcPr>
          <w:p>
            <w:r>
              <w:t>1 408 600 Ft</w:t>
            </w:r>
          </w:p>
        </w:tc>
      </w:tr>
    </w:tbl>
    <w:p>
      <w:r>
        <w:t>Kelt: Budapest, 2026.07.01.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